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100"/>
        <w:gridCol w:w="4700"/>
      </w:tblGrid>
      <w:tr>
        <w:trPr>
          <w:cantSplit/>
        </w:trPr>
        <w:tc>
          <w:tcPr>
            <w:tcW w:type="dxa" w:w="6100"/>
            <w:shd w:fill="16324F"/>
            <w:tcMar>
              <w:top w:w="100" w:type="dxa"/>
              <w:start w:w="150" w:type="dxa"/>
              <w:bottom w:w="95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44"/>
              </w:rPr>
              <w:t>NOVASHI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i w:val="0"/>
                <w:color w:val="A9D5DF"/>
                <w:sz w:val="18"/>
              </w:rPr>
              <w:t>GOVERNMENT SOLUTIONS LLC</w:t>
            </w:r>
          </w:p>
        </w:tc>
        <w:tc>
          <w:tcPr>
            <w:tcW w:type="dxa" w:w="4700"/>
            <w:shd w:fill="16324F"/>
            <w:tcMar>
              <w:top w:w="100" w:type="dxa"/>
              <w:start w:w="150" w:type="dxa"/>
              <w:bottom w:w="95" w:type="dxa"/>
              <w:end w:w="150" w:type="dxa"/>
            </w:tcMar>
            <w:vAlign w:val="center"/>
          </w:tcPr>
          <w:p>
            <w:pPr>
              <w:spacing w:after="20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25"/>
              </w:rPr>
              <w:t>CAPABILITY STATEMENT</w:t>
            </w:r>
          </w:p>
          <w:p>
            <w:pPr>
              <w:spacing w:after="0"/>
              <w:jc w:val="right"/>
            </w:pPr>
            <w:r>
              <w:rPr>
                <w:rFonts w:ascii="Aptos" w:hAnsi="Aptos"/>
                <w:b w:val="0"/>
                <w:i w:val="0"/>
                <w:color w:val="DCE9EE"/>
                <w:sz w:val="15"/>
              </w:rPr>
              <w:t>Veteran-Founded | Mission-Focused | Federal-Ready</w:t>
            </w:r>
          </w:p>
        </w:tc>
      </w:tr>
    </w:tbl>
    <w:p>
      <w:pPr>
        <w:spacing w:before="100" w:after="80"/>
        <w:jc w:val="center"/>
      </w:pPr>
      <w:r>
        <w:rPr>
          <w:rFonts w:ascii="Aptos" w:hAnsi="Aptos"/>
          <w:b/>
          <w:i w:val="0"/>
          <w:color w:val="1E6A8D"/>
          <w:sz w:val="23"/>
        </w:rPr>
        <w:t>INTEGRATED MISSION SOLUTIONS PARTNER</w:t>
      </w:r>
    </w:p>
    <w:p>
      <w:pPr>
        <w:spacing w:after="100" w:line="259" w:lineRule="auto"/>
        <w:jc w:val="center"/>
      </w:pPr>
      <w:r>
        <w:rPr>
          <w:rFonts w:ascii="Aptos" w:hAnsi="Aptos"/>
          <w:b w:val="0"/>
          <w:i w:val="0"/>
          <w:color w:val="53616B"/>
          <w:sz w:val="18"/>
        </w:rPr>
        <w:t>Novashi Government Solutions LLC delivers technology, professional services, workforce support, and operational solutions that help government agencies and prime contractors strengthen performance, modernize securely, and accomplish critical missions.</w:t>
      </w:r>
    </w:p>
    <w:tbl>
      <w:tblPr>
        <w:tblW w:type="dxa" w:w="1080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8" w:color="2D8797"/>
          <w:left w:val="single" w:sz="8" w:color="2D8797"/>
          <w:bottom w:val="single" w:sz="8" w:color="2D8797"/>
          <w:right w:val="single" w:sz="8" w:color="2D8797"/>
          <w:insideH w:val="single" w:sz="8" w:color="2D8797"/>
          <w:insideV w:val="single" w:sz="8" w:color="2D8797"/>
        </w:tblBorders>
      </w:tblPr>
      <w:tblGrid>
        <w:gridCol w:w="2700"/>
        <w:gridCol w:w="2400"/>
        <w:gridCol w:w="3000"/>
        <w:gridCol w:w="2700"/>
      </w:tblGrid>
      <w:tr>
        <w:tc>
          <w:tcPr>
            <w:tcW w:type="dxa" w:w="2700"/>
            <w:shd w:fill="EAF2F5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ptos" w:hAnsi="Aptos"/>
                <w:b/>
                <w:i w:val="0"/>
                <w:color w:val="1E6A8D"/>
                <w:sz w:val="14"/>
              </w:rPr>
              <w:t>UEI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16324F"/>
                <w:sz w:val="18"/>
              </w:rPr>
              <w:t>RR4KTU9MANW3</w:t>
            </w:r>
          </w:p>
        </w:tc>
        <w:tc>
          <w:tcPr>
            <w:tcW w:type="dxa" w:w="2400"/>
            <w:shd w:fill="EAF2F5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ptos" w:hAnsi="Aptos"/>
                <w:b/>
                <w:i w:val="0"/>
                <w:color w:val="1E6A8D"/>
                <w:sz w:val="14"/>
              </w:rPr>
              <w:t>CAGE CODE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16324F"/>
                <w:sz w:val="18"/>
              </w:rPr>
              <w:t>1Z0P5</w:t>
            </w:r>
          </w:p>
        </w:tc>
        <w:tc>
          <w:tcPr>
            <w:tcW w:type="dxa" w:w="3000"/>
            <w:shd w:fill="EAF2F5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ptos" w:hAnsi="Aptos"/>
                <w:b/>
                <w:i w:val="0"/>
                <w:color w:val="1E6A8D"/>
                <w:sz w:val="14"/>
              </w:rPr>
              <w:t>PRIMARY NAICS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16324F"/>
                <w:sz w:val="18"/>
              </w:rPr>
              <w:t>541512</w:t>
            </w:r>
          </w:p>
        </w:tc>
        <w:tc>
          <w:tcPr>
            <w:tcW w:type="dxa" w:w="2700"/>
            <w:shd w:fill="EAF2F5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ptos" w:hAnsi="Aptos"/>
                <w:b/>
                <w:i w:val="0"/>
                <w:color w:val="1E6A8D"/>
                <w:sz w:val="14"/>
              </w:rPr>
              <w:t>SAM.GOV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16324F"/>
                <w:sz w:val="18"/>
              </w:rPr>
              <w:t>ACTIVE</w:t>
            </w:r>
          </w:p>
        </w:tc>
      </w:tr>
    </w:tbl>
    <w:p>
      <w:pPr>
        <w:spacing w:after="20"/>
      </w:pPr>
    </w:p>
    <w:tbl>
      <w:tblPr>
        <w:tblW w:type="dxa" w:w="1080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C7D8DF"/>
          <w:left w:val="single" w:sz="5" w:color="C7D8DF"/>
          <w:bottom w:val="single" w:sz="5" w:color="C7D8DF"/>
          <w:right w:val="single" w:sz="5" w:color="C7D8DF"/>
          <w:insideH w:val="single" w:sz="5" w:color="C7D8DF"/>
          <w:insideV w:val="single" w:sz="5" w:color="C7D8DF"/>
        </w:tblBorders>
      </w:tblPr>
      <w:tblGrid>
        <w:gridCol w:w="5320"/>
        <w:gridCol w:w="5480"/>
      </w:tblGrid>
      <w:tr>
        <w:trPr>
          <w:cantSplit/>
        </w:trPr>
        <w:tc>
          <w:tcPr>
            <w:tcW w:type="dxa" w:w="5320"/>
            <w:tcMar>
              <w:top w:w="80" w:type="dxa"/>
              <w:start w:w="125" w:type="dxa"/>
              <w:bottom w:w="80" w:type="dxa"/>
              <w:end w:w="125" w:type="dxa"/>
            </w:tcMar>
            <w:vAlign w:val="top"/>
            <w:shd w:fill="FFFFFF"/>
          </w:tcPr>
          <w:p>
            <w:pPr>
              <w:keepNext/>
              <w:spacing w:before="70" w:after="40"/>
              <w:pBdr>
                <w:bottom w:val="single" w:sz="8" w:color="2D8797"/>
              </w:pBdr>
            </w:pPr>
            <w:r>
              <w:rPr>
                <w:rFonts w:ascii="Aptos" w:hAnsi="Aptos"/>
                <w:b/>
                <w:i w:val="0"/>
                <w:color w:val="16324F"/>
                <w:sz w:val="20"/>
              </w:rPr>
              <w:t>CORE CAPABILITIES</w:t>
            </w:r>
          </w:p>
          <w:p>
            <w:pPr>
              <w:keepNext/>
              <w:spacing w:after="28"/>
            </w:pPr>
            <w:r>
              <w:rPr>
                <w:rFonts w:ascii="Aptos" w:hAnsi="Aptos"/>
                <w:b/>
                <w:i w:val="0"/>
                <w:color w:val="1E6A8D"/>
                <w:sz w:val="17"/>
              </w:rPr>
              <w:t>Professional Services</w:t>
            </w:r>
          </w:p>
          <w:p>
            <w:pPr>
              <w:spacing w:after="54" w:line="245" w:lineRule="auto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Engineering, technical, and administrative support delivered by professionals who understand mission tempo and operational realities.</w:t>
            </w:r>
          </w:p>
          <w:p>
            <w:pPr>
              <w:keepNext/>
              <w:spacing w:after="28"/>
            </w:pPr>
            <w:r>
              <w:rPr>
                <w:rFonts w:ascii="Aptos" w:hAnsi="Aptos"/>
                <w:b/>
                <w:i w:val="0"/>
                <w:color w:val="1E6A8D"/>
                <w:sz w:val="17"/>
              </w:rPr>
              <w:t>Program Management</w:t>
            </w:r>
          </w:p>
          <w:p>
            <w:pPr>
              <w:spacing w:after="54" w:line="245" w:lineRule="auto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Structured, accountable execution that turns complex, multi-stakeholder objectives into clear plans and measurable outcomes.</w:t>
            </w:r>
          </w:p>
          <w:p>
            <w:pPr>
              <w:keepNext/>
              <w:spacing w:after="28"/>
            </w:pPr>
            <w:r>
              <w:rPr>
                <w:rFonts w:ascii="Aptos" w:hAnsi="Aptos"/>
                <w:b/>
                <w:i w:val="0"/>
                <w:color w:val="1E6A8D"/>
                <w:sz w:val="17"/>
              </w:rPr>
              <w:t>Workforce Solutions</w:t>
            </w:r>
          </w:p>
          <w:p>
            <w:pPr>
              <w:spacing w:after="54" w:line="245" w:lineRule="auto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Technical staffing, workforce augmentation, recruiting support, and workforce development aligned to each mission's required skill sets.</w:t>
            </w:r>
          </w:p>
          <w:p>
            <w:pPr>
              <w:keepNext/>
              <w:spacing w:after="28"/>
            </w:pPr>
            <w:r>
              <w:rPr>
                <w:rFonts w:ascii="Aptos" w:hAnsi="Aptos"/>
                <w:b/>
                <w:i w:val="0"/>
                <w:color w:val="1E6A8D"/>
                <w:sz w:val="17"/>
              </w:rPr>
              <w:t>Operational Support</w:t>
            </w:r>
          </w:p>
          <w:p>
            <w:pPr>
              <w:spacing w:after="54" w:line="245" w:lineRule="auto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Facilities support, janitorial services, logistics assistance, and day-to-day operational services that keep mission environments running.</w:t>
            </w:r>
          </w:p>
          <w:p>
            <w:pPr>
              <w:keepNext/>
              <w:spacing w:after="28"/>
            </w:pPr>
            <w:r>
              <w:rPr>
                <w:rFonts w:ascii="Aptos" w:hAnsi="Aptos"/>
                <w:b/>
                <w:i w:val="0"/>
                <w:color w:val="1E6A8D"/>
                <w:sz w:val="17"/>
              </w:rPr>
              <w:t>Strategic Consulting</w:t>
            </w:r>
          </w:p>
          <w:p>
            <w:pPr>
              <w:spacing w:after="54" w:line="245" w:lineRule="auto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Business and management consulting that transforms complex challenges into practical, secure, and executable strategies.</w:t>
            </w:r>
          </w:p>
          <w:p>
            <w:pPr>
              <w:keepNext/>
              <w:spacing w:after="28"/>
            </w:pPr>
            <w:r>
              <w:rPr>
                <w:rFonts w:ascii="Aptos" w:hAnsi="Aptos"/>
                <w:b/>
                <w:i w:val="0"/>
                <w:color w:val="1E6A8D"/>
                <w:sz w:val="17"/>
              </w:rPr>
              <w:t>Technology &amp; Cybersecurity</w:t>
            </w:r>
          </w:p>
          <w:p>
            <w:pPr>
              <w:spacing w:after="54" w:line="245" w:lineRule="auto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Cybersecurity, RMF, AI, cloud, data analytics, systems integration, digital transformation, risk and compliance, and managed services.</w:t>
            </w:r>
          </w:p>
          <w:p>
            <w:pPr>
              <w:keepNext/>
              <w:spacing w:before="70" w:after="40"/>
              <w:pBdr>
                <w:bottom w:val="single" w:sz="8" w:color="2D8797"/>
              </w:pBdr>
            </w:pPr>
            <w:r>
              <w:rPr>
                <w:rFonts w:ascii="Aptos" w:hAnsi="Aptos"/>
                <w:b/>
                <w:i w:val="0"/>
                <w:color w:val="16324F"/>
                <w:sz w:val="20"/>
              </w:rPr>
              <w:t>SIGNATURE OFFERING</w:t>
            </w:r>
          </w:p>
          <w:p>
            <w:pPr>
              <w:spacing w:after="30"/>
            </w:pPr>
            <w:r>
              <w:rPr>
                <w:rFonts w:ascii="Aptos" w:hAnsi="Aptos"/>
                <w:b/>
                <w:i w:val="0"/>
                <w:color w:val="1E6A8D"/>
                <w:sz w:val="17"/>
              </w:rPr>
              <w:t>Integrated Mission Solutions</w:t>
            </w:r>
          </w:p>
          <w:p>
            <w:pPr>
              <w:spacing w:after="50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A multidisciplinary approach combining strategy, technology, consulting, workforce expertise, and operational support into one unified solution tailored to the client's mission.</w:t>
            </w:r>
          </w:p>
        </w:tc>
        <w:tc>
          <w:tcPr>
            <w:tcW w:type="dxa" w:w="5480"/>
            <w:tcMar>
              <w:top w:w="80" w:type="dxa"/>
              <w:start w:w="125" w:type="dxa"/>
              <w:bottom w:w="80" w:type="dxa"/>
              <w:end w:w="125" w:type="dxa"/>
            </w:tcMar>
            <w:vAlign w:val="top"/>
            <w:shd w:fill="F5F8FA"/>
          </w:tcPr>
          <w:p>
            <w:pPr>
              <w:keepNext/>
              <w:spacing w:before="70" w:after="40"/>
              <w:pBdr>
                <w:bottom w:val="single" w:sz="8" w:color="2D8797"/>
              </w:pBdr>
            </w:pPr>
            <w:r>
              <w:rPr>
                <w:rFonts w:ascii="Aptos" w:hAnsi="Aptos"/>
                <w:b/>
                <w:i w:val="0"/>
                <w:color w:val="16324F"/>
                <w:sz w:val="20"/>
              </w:rPr>
              <w:t>KEY DIFFERENTIATORS</w:t>
            </w:r>
          </w:p>
          <w:p>
            <w:pPr>
              <w:pStyle w:val="ListBullet"/>
              <w:spacing w:after="28" w:line="240" w:lineRule="auto"/>
              <w:ind w:left="230" w:hanging="144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Veteran-founded leadership with direct federal mission experience</w:t>
            </w:r>
          </w:p>
          <w:p>
            <w:pPr>
              <w:pStyle w:val="ListBullet"/>
              <w:spacing w:after="28" w:line="240" w:lineRule="auto"/>
              <w:ind w:left="230" w:hanging="144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Leadership stays engaged throughout the engagement, not only at kickoff</w:t>
            </w:r>
          </w:p>
          <w:p>
            <w:pPr>
              <w:pStyle w:val="ListBullet"/>
              <w:spacing w:after="28" w:line="240" w:lineRule="auto"/>
              <w:ind w:left="230" w:hanging="144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Small-business agility with responsive, personalized delivery</w:t>
            </w:r>
          </w:p>
          <w:p>
            <w:pPr>
              <w:pStyle w:val="ListBullet"/>
              <w:spacing w:after="28" w:line="240" w:lineRule="auto"/>
              <w:ind w:left="230" w:hanging="144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Technology, consulting, workforce, and operations under one partner</w:t>
            </w:r>
          </w:p>
          <w:p>
            <w:pPr>
              <w:pStyle w:val="ListBullet"/>
              <w:spacing w:after="28" w:line="240" w:lineRule="auto"/>
              <w:ind w:left="230" w:hanging="144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Innovation without unsupported claims or unnecessary hype</w:t>
            </w:r>
          </w:p>
          <w:p>
            <w:pPr>
              <w:pStyle w:val="ListBullet"/>
              <w:spacing w:after="28" w:line="240" w:lineRule="auto"/>
              <w:ind w:left="230" w:hanging="144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Success measured against mission impact and outcomes, not activity</w:t>
            </w:r>
          </w:p>
          <w:p>
            <w:pPr>
              <w:keepNext/>
              <w:spacing w:before="70" w:after="40"/>
              <w:pBdr>
                <w:bottom w:val="single" w:sz="8" w:color="2D8797"/>
              </w:pBdr>
            </w:pPr>
            <w:r>
              <w:rPr>
                <w:rFonts w:ascii="Aptos" w:hAnsi="Aptos"/>
                <w:b/>
                <w:i w:val="0"/>
                <w:color w:val="16324F"/>
                <w:sz w:val="20"/>
              </w:rPr>
              <w:t>TARGET CUSTOMERS</w:t>
            </w:r>
          </w:p>
          <w:p>
            <w:pPr>
              <w:pStyle w:val="ListBullet"/>
              <w:spacing w:after="28" w:line="240" w:lineRule="auto"/>
              <w:ind w:left="230" w:hanging="144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Federal Government and Department of Defense</w:t>
            </w:r>
          </w:p>
          <w:p>
            <w:pPr>
              <w:pStyle w:val="ListBullet"/>
              <w:spacing w:after="28" w:line="240" w:lineRule="auto"/>
              <w:ind w:left="230" w:hanging="144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Prime Contractors and Teaming Partners</w:t>
            </w:r>
          </w:p>
          <w:p>
            <w:pPr>
              <w:pStyle w:val="ListBullet"/>
              <w:spacing w:after="28" w:line="240" w:lineRule="auto"/>
              <w:ind w:left="230" w:hanging="144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State and Local Government Organizations</w:t>
            </w:r>
          </w:p>
          <w:p>
            <w:pPr>
              <w:pStyle w:val="ListBullet"/>
              <w:spacing w:after="28" w:line="240" w:lineRule="auto"/>
              <w:ind w:left="230" w:hanging="144"/>
            </w:pP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Commercial Enterprises</w:t>
            </w:r>
          </w:p>
          <w:p>
            <w:pPr>
              <w:keepNext/>
              <w:spacing w:before="70" w:after="40"/>
              <w:pBdr>
                <w:bottom w:val="single" w:sz="8" w:color="2D8797"/>
              </w:pBdr>
            </w:pPr>
            <w:r>
              <w:rPr>
                <w:rFonts w:ascii="Aptos" w:hAnsi="Aptos"/>
                <w:b/>
                <w:i w:val="0"/>
                <w:color w:val="16324F"/>
                <w:sz w:val="20"/>
              </w:rPr>
              <w:t>COMPANY DATA</w:t>
            </w:r>
          </w:p>
          <w:p>
            <w:pPr>
              <w:spacing w:after="28"/>
            </w:pPr>
            <w:r>
              <w:rPr>
                <w:rFonts w:ascii="Aptos" w:hAnsi="Aptos"/>
                <w:b/>
                <w:i w:val="0"/>
                <w:color w:val="16324F"/>
                <w:sz w:val="16"/>
              </w:rPr>
              <w:t xml:space="preserve">Legal Name: </w:t>
            </w: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Novashi Government Solutions LLC</w:t>
            </w:r>
          </w:p>
          <w:p>
            <w:pPr>
              <w:spacing w:after="28"/>
            </w:pPr>
            <w:r>
              <w:rPr>
                <w:rFonts w:ascii="Aptos" w:hAnsi="Aptos"/>
                <w:b/>
                <w:i w:val="0"/>
                <w:color w:val="16324F"/>
                <w:sz w:val="16"/>
              </w:rPr>
              <w:t xml:space="preserve">Certifications: </w:t>
            </w: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SBA-Certified SDVOSB and VOSB</w:t>
            </w:r>
          </w:p>
          <w:p>
            <w:pPr>
              <w:spacing w:after="28"/>
            </w:pPr>
            <w:r>
              <w:rPr>
                <w:rFonts w:ascii="Aptos" w:hAnsi="Aptos"/>
                <w:b/>
                <w:i w:val="0"/>
                <w:color w:val="16324F"/>
                <w:sz w:val="16"/>
              </w:rPr>
              <w:t xml:space="preserve">Founded: </w:t>
            </w: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2026 | Texas</w:t>
            </w:r>
          </w:p>
          <w:p>
            <w:pPr>
              <w:spacing w:after="28"/>
            </w:pPr>
            <w:r>
              <w:rPr>
                <w:rFonts w:ascii="Aptos" w:hAnsi="Aptos"/>
                <w:b/>
                <w:i w:val="0"/>
                <w:color w:val="16324F"/>
                <w:sz w:val="16"/>
              </w:rPr>
              <w:t xml:space="preserve">SAM Renewal: </w:t>
            </w: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April 9, 2027</w:t>
            </w:r>
          </w:p>
          <w:p>
            <w:pPr>
              <w:keepNext/>
              <w:spacing w:before="70" w:after="40"/>
              <w:pBdr>
                <w:bottom w:val="single" w:sz="8" w:color="2D8797"/>
              </w:pBdr>
            </w:pPr>
            <w:r>
              <w:rPr>
                <w:rFonts w:ascii="Aptos" w:hAnsi="Aptos"/>
                <w:b/>
                <w:i w:val="0"/>
                <w:color w:val="16324F"/>
                <w:sz w:val="20"/>
              </w:rPr>
              <w:t>NAICS &amp; PSC CODES</w:t>
            </w:r>
          </w:p>
          <w:p>
            <w:pPr>
              <w:spacing w:after="30" w:line="240" w:lineRule="auto"/>
            </w:pPr>
            <w:r>
              <w:rPr>
                <w:rFonts w:ascii="Aptos" w:hAnsi="Aptos"/>
                <w:b/>
                <w:i w:val="0"/>
                <w:color w:val="16324F"/>
                <w:sz w:val="15"/>
              </w:rPr>
              <w:t xml:space="preserve">NAICS: </w:t>
            </w:r>
            <w:r>
              <w:rPr>
                <w:rFonts w:ascii="Aptos" w:hAnsi="Aptos"/>
                <w:b w:val="0"/>
                <w:i w:val="0"/>
                <w:color w:val="17212B"/>
                <w:sz w:val="15"/>
              </w:rPr>
              <w:t>518210, 541511, 541512, 541513, 541519, 541611, 541612, 541618, 541690, 561110, 561210, 561320, 561720</w:t>
            </w:r>
          </w:p>
          <w:p>
            <w:pPr>
              <w:spacing w:after="30" w:line="240" w:lineRule="auto"/>
            </w:pPr>
            <w:r>
              <w:rPr>
                <w:rFonts w:ascii="Aptos" w:hAnsi="Aptos"/>
                <w:b/>
                <w:i w:val="0"/>
                <w:color w:val="16324F"/>
                <w:sz w:val="15"/>
              </w:rPr>
              <w:t xml:space="preserve">PSC: </w:t>
            </w:r>
            <w:r>
              <w:rPr>
                <w:rFonts w:ascii="Aptos" w:hAnsi="Aptos"/>
                <w:b w:val="0"/>
                <w:i w:val="0"/>
                <w:color w:val="17212B"/>
                <w:sz w:val="15"/>
              </w:rPr>
              <w:t>DA01, DE01, DF01, DJ01, R408, R425, R431, R499, S201</w:t>
            </w:r>
          </w:p>
          <w:p>
            <w:pPr>
              <w:keepNext/>
              <w:spacing w:before="70" w:after="40"/>
              <w:pBdr>
                <w:bottom w:val="single" w:sz="8" w:color="2D8797"/>
              </w:pBdr>
            </w:pPr>
            <w:r>
              <w:rPr>
                <w:rFonts w:ascii="Aptos" w:hAnsi="Aptos"/>
                <w:b/>
                <w:i w:val="0"/>
                <w:color w:val="16324F"/>
                <w:sz w:val="20"/>
              </w:rPr>
              <w:t>CONTACT</w:t>
            </w:r>
          </w:p>
          <w:p>
            <w:pPr>
              <w:spacing w:after="26"/>
            </w:pPr>
            <w:r>
              <w:rPr>
                <w:rFonts w:ascii="Aptos" w:hAnsi="Aptos"/>
                <w:b/>
                <w:i w:val="0"/>
                <w:color w:val="16324F"/>
                <w:sz w:val="16"/>
              </w:rPr>
              <w:t xml:space="preserve">Raymond Ikediashi: </w:t>
            </w: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Founder &amp; Chief Executive Officer</w:t>
            </w:r>
          </w:p>
          <w:p>
            <w:pPr>
              <w:spacing w:after="26"/>
            </w:pPr>
            <w:r>
              <w:rPr>
                <w:rFonts w:ascii="Aptos" w:hAnsi="Aptos"/>
                <w:b/>
                <w:i w:val="0"/>
                <w:color w:val="16324F"/>
                <w:sz w:val="16"/>
              </w:rPr>
              <w:t xml:space="preserve">Website: </w:t>
            </w: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www.novashisolutions.com</w:t>
            </w:r>
          </w:p>
          <w:p>
            <w:pPr>
              <w:spacing w:after="26"/>
            </w:pPr>
            <w:r>
              <w:rPr>
                <w:rFonts w:ascii="Aptos" w:hAnsi="Aptos"/>
                <w:b/>
                <w:i w:val="0"/>
                <w:color w:val="16324F"/>
                <w:sz w:val="16"/>
              </w:rPr>
              <w:t xml:space="preserve">Email: </w:t>
            </w: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engage@novashisolutions.com</w:t>
            </w:r>
          </w:p>
          <w:p>
            <w:pPr>
              <w:spacing w:after="26"/>
            </w:pPr>
            <w:r>
              <w:rPr>
                <w:rFonts w:ascii="Aptos" w:hAnsi="Aptos"/>
                <w:b/>
                <w:i w:val="0"/>
                <w:color w:val="16324F"/>
                <w:sz w:val="16"/>
              </w:rPr>
              <w:t xml:space="preserve">Phone: </w:t>
            </w:r>
            <w:r>
              <w:rPr>
                <w:rFonts w:ascii="Aptos" w:hAnsi="Aptos"/>
                <w:b w:val="0"/>
                <w:i w:val="0"/>
                <w:color w:val="17212B"/>
                <w:sz w:val="16"/>
              </w:rPr>
              <w:t>301-860-9273</w:t>
            </w:r>
          </w:p>
        </w:tc>
      </w:tr>
    </w:tbl>
    <w:p>
      <w:pPr>
        <w:spacing w:before="80" w:after="0"/>
        <w:jc w:val="center"/>
      </w:pPr>
      <w:r>
        <w:rPr>
          <w:rFonts w:ascii="Aptos" w:hAnsi="Aptos"/>
          <w:b/>
          <w:i w:val="0"/>
          <w:color w:val="2D8797"/>
          <w:sz w:val="17"/>
        </w:rPr>
        <w:t>Secure Technology  |  Strategic Expertise  |  Reliable Mission Support</w:t>
      </w:r>
    </w:p>
    <w:sectPr w:rsidR="00FC693F" w:rsidRPr="0006063C" w:rsidSect="00034616">
      <w:footerReference w:type="default" r:id="rId9"/>
      <w:pgSz w:w="12240" w:h="15840"/>
      <w:pgMar w:top="605" w:right="720" w:bottom="605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ptos" w:hAnsi="Aptos"/>
        <w:b w:val="0"/>
        <w:i w:val="0"/>
        <w:color w:val="53616B"/>
        <w:sz w:val="14"/>
      </w:rPr>
      <w:t>Novashi Government Solutions LLC  |  Arlington, Texas  |  www.novashisolutions.com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52" w:lineRule="auto"/>
    </w:pPr>
    <w:rPr>
      <w:rFonts w:ascii="Aptos" w:hAnsi="Aptos"/>
      <w:color w:val="17212B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5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24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50"/>
      <w:outlineLvl w:val="1"/>
    </w:pPr>
    <w:rPr>
      <w:rFonts w:asciiTheme="majorHAnsi" w:eastAsiaTheme="majorEastAsia" w:hAnsiTheme="majorHAnsi" w:cstheme="majorBidi" w:ascii="Aptos" w:hAnsi="Aptos"/>
      <w:b/>
      <w:bCs/>
      <w:color w:val="1E6A8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5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24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Novashi Government Solutions LLC Capability Statement</dc:title>
  <dc:subject>Government contracting capability statement</dc:subject>
  <dc:creator>Novashi Government Solutions LLC</dc:creator>
  <cp:keywords>SDVOSB, VOSB, government contracting, cybersecurity, professional services, workforce, facilities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